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77" w:rsidRDefault="00BC3B7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</w:pPr>
      <w:r>
        <w:fldChar w:fldCharType="begin"/>
      </w:r>
      <w:r>
        <w:instrText xml:space="preserve"> SEQ CHAPTER \h \r 1</w:instrText>
      </w:r>
      <w:r>
        <w:fldChar w:fldCharType="end"/>
      </w:r>
      <w:r w:rsidR="00F908F2">
        <w:rPr>
          <w:noProof/>
        </w:rPr>
        <w:drawing>
          <wp:inline distT="0" distB="0" distL="0" distR="0">
            <wp:extent cx="3170555" cy="285115"/>
            <wp:effectExtent l="0" t="0" r="0" b="635"/>
            <wp:docPr id="5" name="Picture 5" descr="J:\Zno\ISC Logo Letter head\IS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Zno\ISC Logo Letter head\ISC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5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F2" w:rsidRDefault="00F908F2" w:rsidP="00F908F2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BC3B77" w:rsidRPr="00F32D77" w:rsidRDefault="00BC3B77" w:rsidP="00F908F2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  <w:rPr>
          <w:rFonts w:ascii="Arial" w:hAnsi="Arial" w:cs="Arial"/>
        </w:rPr>
      </w:pPr>
      <w:r w:rsidRPr="00F32D77">
        <w:rPr>
          <w:rFonts w:ascii="Arial" w:hAnsi="Arial" w:cs="Arial"/>
          <w:b/>
          <w:bCs/>
        </w:rPr>
        <w:t>MEMORANDUM    NOTE DE SERVICE</w:t>
      </w:r>
    </w:p>
    <w:p w:rsidR="00BC3B77" w:rsidRPr="00F32D77" w:rsidRDefault="00BC3B7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0"/>
        <w:gridCol w:w="499"/>
        <w:gridCol w:w="5082"/>
        <w:gridCol w:w="499"/>
        <w:gridCol w:w="538"/>
        <w:gridCol w:w="3697"/>
      </w:tblGrid>
      <w:tr w:rsidR="00BC3B77" w:rsidRPr="00F32D77">
        <w:trPr>
          <w:cantSplit/>
        </w:trPr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rFonts w:ascii="Arial" w:hAnsi="Arial" w:cs="Arial"/>
              </w:rPr>
            </w:pPr>
            <w:r w:rsidRPr="00F32D77">
              <w:rPr>
                <w:rFonts w:ascii="Arial" w:hAnsi="Arial" w:cs="Arial"/>
              </w:rPr>
              <w:t>TO</w:t>
            </w:r>
          </w:p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left"/>
            </w:pPr>
            <w:r w:rsidRPr="00F32D77">
              <w:rPr>
                <w:rFonts w:ascii="Arial" w:hAnsi="Arial" w:cs="Arial"/>
              </w:rPr>
              <w:t>À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rFonts w:asciiTheme="minorHAnsi" w:hAnsiTheme="minorHAnsi" w:cs="Arial"/>
              </w:rPr>
            </w:pPr>
          </w:p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left"/>
              <w:rPr>
                <w:rFonts w:asciiTheme="minorHAnsi" w:hAnsiTheme="minorHAnsi" w:cs="Arial"/>
              </w:rPr>
            </w:pPr>
          </w:p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left"/>
              <w:rPr>
                <w:rFonts w:asciiTheme="minorHAnsi" w:hAnsiTheme="minorHAnsi" w:cs="Arial"/>
              </w:rPr>
            </w:pPr>
          </w:p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left"/>
              <w:rPr>
                <w:rFonts w:asciiTheme="minorHAnsi" w:hAnsiTheme="minorHAnsi" w:cs="Arial"/>
              </w:rPr>
            </w:pPr>
          </w:p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left"/>
              <w:rPr>
                <w:rFonts w:asciiTheme="minorHAnsi" w:hAnsiTheme="minorHAnsi"/>
              </w:rPr>
            </w:pPr>
          </w:p>
        </w:tc>
        <w:tc>
          <w:tcPr>
            <w:tcW w:w="50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77" w:rsidRPr="00F32D77" w:rsidRDefault="001001F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rFonts w:asciiTheme="minorHAnsi" w:hAnsiTheme="minorHAnsi"/>
              </w:rPr>
            </w:pPr>
            <w:r w:rsidRPr="00F32D77">
              <w:rPr>
                <w:rFonts w:asciiTheme="minorHAnsi" w:hAnsiTheme="minorHAnsi"/>
              </w:rPr>
              <w:t xml:space="preserve">Community Health Nurses 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53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rFonts w:ascii="Arial" w:hAnsi="Arial" w:cs="Arial"/>
                <w:vertAlign w:val="superscript"/>
                <w:lang w:val="fr-CA"/>
              </w:rPr>
            </w:pPr>
            <w:r w:rsidRPr="00F32D77">
              <w:rPr>
                <w:rFonts w:ascii="Arial" w:hAnsi="Arial" w:cs="Arial"/>
                <w:vertAlign w:val="superscript"/>
                <w:lang w:val="fr-CA"/>
              </w:rPr>
              <w:t>Security Classification</w:t>
            </w:r>
          </w:p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left"/>
              <w:rPr>
                <w:lang w:val="fr-CA"/>
              </w:rPr>
            </w:pPr>
            <w:r w:rsidRPr="00F32D77">
              <w:rPr>
                <w:rFonts w:ascii="Arial" w:hAnsi="Arial" w:cs="Arial"/>
                <w:vertAlign w:val="superscript"/>
                <w:lang w:val="fr-CA"/>
              </w:rPr>
              <w:t>Classification de Sécurité</w:t>
            </w:r>
          </w:p>
        </w:tc>
      </w:tr>
      <w:tr w:rsidR="00BC3B77" w:rsidRPr="00F32D77">
        <w:trPr>
          <w:cantSplit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lang w:val="fr-CA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lang w:val="fr-CA"/>
              </w:rPr>
            </w:pPr>
          </w:p>
        </w:tc>
        <w:tc>
          <w:tcPr>
            <w:tcW w:w="5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lang w:val="fr-CA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lang w:val="fr-CA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lang w:val="fr-CA"/>
              </w:rPr>
            </w:pPr>
          </w:p>
        </w:tc>
        <w:tc>
          <w:tcPr>
            <w:tcW w:w="3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lang w:val="fr-CA"/>
              </w:rPr>
            </w:pPr>
          </w:p>
        </w:tc>
      </w:tr>
      <w:tr w:rsidR="00BC3B77" w:rsidRPr="00F32D77" w:rsidTr="00F32D77">
        <w:trPr>
          <w:cantSplit/>
          <w:trHeight w:val="889"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lang w:val="fr-CA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lang w:val="fr-CA"/>
              </w:rPr>
            </w:pPr>
          </w:p>
        </w:tc>
        <w:tc>
          <w:tcPr>
            <w:tcW w:w="5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lang w:val="fr-CA"/>
              </w:rPr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lang w:val="fr-CA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lang w:val="fr-CA"/>
              </w:rPr>
            </w:pP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  <w:r w:rsidRPr="00F32D77">
              <w:rPr>
                <w:rFonts w:ascii="Arial" w:hAnsi="Arial" w:cs="Arial"/>
                <w:vertAlign w:val="superscript"/>
              </w:rPr>
              <w:t xml:space="preserve">Our file/Notre </w:t>
            </w:r>
            <w:proofErr w:type="spellStart"/>
            <w:r w:rsidRPr="00F32D77">
              <w:rPr>
                <w:rFonts w:ascii="Arial" w:hAnsi="Arial" w:cs="Arial"/>
                <w:vertAlign w:val="superscript"/>
              </w:rPr>
              <w:t>réference</w:t>
            </w:r>
            <w:proofErr w:type="spellEnd"/>
          </w:p>
        </w:tc>
      </w:tr>
      <w:tr w:rsidR="00BC3B77" w:rsidRPr="00F32D77">
        <w:trPr>
          <w:cantSplit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5082" w:type="dxa"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5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3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</w:tr>
      <w:tr w:rsidR="00BC3B77" w:rsidRPr="00F32D77">
        <w:trPr>
          <w:cantSplit/>
        </w:trPr>
        <w:tc>
          <w:tcPr>
            <w:tcW w:w="10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rFonts w:ascii="Arial" w:hAnsi="Arial" w:cs="Arial"/>
              </w:rPr>
            </w:pPr>
            <w:r w:rsidRPr="00F32D77">
              <w:rPr>
                <w:rFonts w:ascii="Arial" w:hAnsi="Arial" w:cs="Arial"/>
              </w:rPr>
              <w:t>FROM</w:t>
            </w:r>
          </w:p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left"/>
            </w:pPr>
            <w:r w:rsidRPr="00F32D77">
              <w:rPr>
                <w:rFonts w:ascii="Arial" w:hAnsi="Arial" w:cs="Arial"/>
              </w:rPr>
              <w:t>DE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rFonts w:ascii="Arial" w:hAnsi="Arial" w:cs="Arial"/>
              </w:rPr>
            </w:pPr>
          </w:p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left"/>
              <w:rPr>
                <w:rFonts w:ascii="Arial" w:hAnsi="Arial" w:cs="Arial"/>
              </w:rPr>
            </w:pPr>
          </w:p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left"/>
              <w:rPr>
                <w:rFonts w:ascii="Arial" w:hAnsi="Arial" w:cs="Arial"/>
              </w:rPr>
            </w:pPr>
          </w:p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jc w:val="left"/>
            </w:pPr>
          </w:p>
        </w:tc>
        <w:tc>
          <w:tcPr>
            <w:tcW w:w="50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B77" w:rsidRPr="00F32D77" w:rsidRDefault="00AC7A4B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rFonts w:asciiTheme="minorHAnsi" w:hAnsiTheme="minorHAnsi"/>
              </w:rPr>
            </w:pPr>
            <w:r w:rsidRPr="00F32D77">
              <w:rPr>
                <w:rFonts w:asciiTheme="minorHAnsi" w:hAnsiTheme="minorHAnsi"/>
              </w:rPr>
              <w:t>Nicola Phipps-Wetelainen, NPC</w:t>
            </w:r>
          </w:p>
        </w:tc>
        <w:tc>
          <w:tcPr>
            <w:tcW w:w="49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  <w:r w:rsidRPr="00F32D77">
              <w:rPr>
                <w:rFonts w:ascii="Arial" w:hAnsi="Arial" w:cs="Arial"/>
                <w:vertAlign w:val="superscript"/>
              </w:rPr>
              <w:t>Your file/</w:t>
            </w:r>
            <w:proofErr w:type="spellStart"/>
            <w:r w:rsidRPr="00F32D77">
              <w:rPr>
                <w:rFonts w:ascii="Arial" w:hAnsi="Arial" w:cs="Arial"/>
                <w:vertAlign w:val="superscript"/>
              </w:rPr>
              <w:t>Votre</w:t>
            </w:r>
            <w:proofErr w:type="spellEnd"/>
            <w:r w:rsidRPr="00F32D77">
              <w:rPr>
                <w:rFonts w:ascii="Arial" w:hAnsi="Arial" w:cs="Arial"/>
                <w:vertAlign w:val="superscript"/>
              </w:rPr>
              <w:t xml:space="preserve"> </w:t>
            </w:r>
            <w:proofErr w:type="spellStart"/>
            <w:r w:rsidRPr="00F32D77">
              <w:rPr>
                <w:rFonts w:ascii="Arial" w:hAnsi="Arial" w:cs="Arial"/>
                <w:vertAlign w:val="superscript"/>
              </w:rPr>
              <w:t>réference</w:t>
            </w:r>
            <w:proofErr w:type="spellEnd"/>
          </w:p>
        </w:tc>
      </w:tr>
      <w:tr w:rsidR="00BC3B77" w:rsidRPr="00F32D77">
        <w:trPr>
          <w:cantSplit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5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3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</w:tr>
      <w:tr w:rsidR="00BC3B77" w:rsidRPr="00F32D77">
        <w:trPr>
          <w:cantSplit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5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  <w:r w:rsidRPr="00F32D77">
              <w:rPr>
                <w:rFonts w:ascii="Arial" w:hAnsi="Arial" w:cs="Arial"/>
                <w:vertAlign w:val="superscript"/>
              </w:rPr>
              <w:t>Date</w:t>
            </w:r>
          </w:p>
        </w:tc>
      </w:tr>
      <w:tr w:rsidR="00BC3B77" w:rsidRPr="00F32D77" w:rsidTr="00F32D77">
        <w:trPr>
          <w:cantSplit/>
          <w:trHeight w:val="80"/>
        </w:trPr>
        <w:tc>
          <w:tcPr>
            <w:tcW w:w="10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5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499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C3B77" w:rsidRPr="00F32D77" w:rsidRDefault="00BC3B77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</w:pPr>
          </w:p>
        </w:tc>
        <w:tc>
          <w:tcPr>
            <w:tcW w:w="3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B77" w:rsidRPr="00F32D77" w:rsidRDefault="001A1121" w:rsidP="00F908F2">
            <w:p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spacing w:before="136"/>
              <w:jc w:val="left"/>
              <w:rPr>
                <w:rFonts w:asciiTheme="minorHAnsi" w:hAnsiTheme="minorHAnsi"/>
              </w:rPr>
            </w:pPr>
            <w:r w:rsidRPr="00F32D77">
              <w:rPr>
                <w:rFonts w:ascii="Arial" w:hAnsi="Arial" w:cs="Arial"/>
              </w:rPr>
              <w:tab/>
            </w:r>
            <w:r w:rsidR="00AC7A4B" w:rsidRPr="00F32D77">
              <w:rPr>
                <w:rFonts w:asciiTheme="minorHAnsi" w:hAnsiTheme="minorHAnsi" w:cs="Arial"/>
              </w:rPr>
              <w:t>July 23, 2019</w:t>
            </w:r>
          </w:p>
        </w:tc>
      </w:tr>
    </w:tbl>
    <w:p w:rsidR="00BC3B77" w:rsidRDefault="00BC3B7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left"/>
        <w:sectPr w:rsidR="00BC3B77">
          <w:headerReference w:type="default" r:id="rId9"/>
          <w:footerReference w:type="default" r:id="rId10"/>
          <w:pgSz w:w="12240" w:h="15840"/>
          <w:pgMar w:top="360" w:right="432" w:bottom="270" w:left="360" w:header="1440" w:footer="1440" w:gutter="0"/>
          <w:cols w:space="720"/>
          <w:titlePg/>
        </w:sectPr>
      </w:pPr>
    </w:p>
    <w:p w:rsidR="00AC7A4B" w:rsidRPr="00F32D77" w:rsidRDefault="002851AC" w:rsidP="00F908F2">
      <w:pPr>
        <w:tabs>
          <w:tab w:val="clear" w:pos="8640"/>
        </w:tabs>
        <w:jc w:val="left"/>
        <w:rPr>
          <w:rFonts w:asciiTheme="minorHAnsi" w:hAnsiTheme="minorHAnsi"/>
          <w:b/>
          <w:bCs/>
          <w:sz w:val="36"/>
          <w:szCs w:val="36"/>
        </w:rPr>
      </w:pPr>
      <w:r w:rsidRPr="00F32D77">
        <w:rPr>
          <w:rFonts w:asciiTheme="minorHAnsi" w:hAnsiTheme="minorHAnsi"/>
          <w:b/>
          <w:bCs/>
          <w:sz w:val="36"/>
          <w:szCs w:val="36"/>
        </w:rPr>
        <w:lastRenderedPageBreak/>
        <w:t>SUBJECT</w:t>
      </w:r>
      <w:r w:rsidR="00CD5BD5">
        <w:rPr>
          <w:rFonts w:asciiTheme="minorHAnsi" w:hAnsiTheme="minorHAnsi"/>
          <w:b/>
          <w:bCs/>
          <w:sz w:val="36"/>
          <w:szCs w:val="36"/>
        </w:rPr>
        <w:t xml:space="preserve">: </w:t>
      </w:r>
      <w:r w:rsidR="00B71FE4" w:rsidRPr="00F32D77">
        <w:rPr>
          <w:rFonts w:asciiTheme="minorHAnsi" w:hAnsiTheme="minorHAnsi"/>
          <w:b/>
          <w:bCs/>
          <w:sz w:val="36"/>
          <w:szCs w:val="36"/>
        </w:rPr>
        <w:t>Test of cure for Chlamydia and Gonorrhea</w:t>
      </w:r>
    </w:p>
    <w:p w:rsidR="009762ED" w:rsidRPr="001F6D19" w:rsidRDefault="009762ED" w:rsidP="00BF337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Test of cure by culture is recommended for all cases of pharyngeal gon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lang w:eastAsia="en-US"/>
        </w:rPr>
        <w:t xml:space="preserve">orrhea, suspected rectal/ pharyngeal treatment failures, if first line treatment was not used, as well as for chlamydia and gonorrhea infections during pregnancy. </w:t>
      </w:r>
    </w:p>
    <w:p w:rsidR="00F32D77" w:rsidRPr="00F32D77" w:rsidRDefault="00F32D77" w:rsidP="00F32D77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F32D77">
        <w:rPr>
          <w:rFonts w:asciiTheme="minorHAnsi" w:eastAsiaTheme="minorHAnsi" w:hAnsiTheme="minorHAnsi" w:cstheme="minorBidi"/>
          <w:b/>
          <w:lang w:eastAsia="en-US"/>
        </w:rPr>
        <w:t>Chlamydia and Gonorrhea Test of Cure (TOC)</w:t>
      </w:r>
    </w:p>
    <w:tbl>
      <w:tblPr>
        <w:tblStyle w:val="LightGrid-Accent32"/>
        <w:tblW w:w="0" w:type="auto"/>
        <w:tblLook w:val="04A0" w:firstRow="1" w:lastRow="0" w:firstColumn="1" w:lastColumn="0" w:noHBand="0" w:noVBand="1"/>
      </w:tblPr>
      <w:tblGrid>
        <w:gridCol w:w="3123"/>
        <w:gridCol w:w="3179"/>
        <w:gridCol w:w="3184"/>
      </w:tblGrid>
      <w:tr w:rsidR="00F32D77" w:rsidRPr="00F32D77" w:rsidTr="00C70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3179" w:type="dxa"/>
          </w:tcPr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F32D77">
              <w:rPr>
                <w:rFonts w:asciiTheme="minorHAnsi" w:eastAsiaTheme="minorHAnsi" w:hAnsiTheme="minorHAnsi" w:cstheme="minorBidi"/>
                <w:sz w:val="18"/>
                <w:szCs w:val="18"/>
              </w:rPr>
              <w:t>Chlamydia</w:t>
            </w:r>
          </w:p>
        </w:tc>
        <w:tc>
          <w:tcPr>
            <w:tcW w:w="3184" w:type="dxa"/>
          </w:tcPr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F32D77">
              <w:rPr>
                <w:rFonts w:asciiTheme="minorHAnsi" w:eastAsiaTheme="minorHAnsi" w:hAnsiTheme="minorHAnsi" w:cstheme="minorBidi"/>
                <w:sz w:val="18"/>
                <w:szCs w:val="18"/>
              </w:rPr>
              <w:t>Gonorrhea</w:t>
            </w:r>
          </w:p>
        </w:tc>
      </w:tr>
      <w:tr w:rsidR="00F32D77" w:rsidRPr="00F32D77" w:rsidTr="00C70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F32D77">
              <w:rPr>
                <w:rFonts w:asciiTheme="minorHAnsi" w:eastAsiaTheme="minorHAnsi" w:hAnsiTheme="minorHAnsi" w:cstheme="minorBidi"/>
                <w:sz w:val="18"/>
                <w:szCs w:val="18"/>
              </w:rPr>
              <w:t>Optimal specimen for TOC</w:t>
            </w:r>
          </w:p>
        </w:tc>
        <w:tc>
          <w:tcPr>
            <w:tcW w:w="3179" w:type="dxa"/>
          </w:tcPr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Chlamydia culture is performed using a viral medium.</w:t>
            </w:r>
          </w:p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 xml:space="preserve">Culture should be performed at </w:t>
            </w:r>
            <w:r w:rsidRPr="00F32D77">
              <w:rPr>
                <w:rFonts w:asciiTheme="minorHAnsi" w:hAnsiTheme="minorHAnsi" w:cstheme="minorBidi"/>
                <w:b/>
                <w:color w:val="000000"/>
                <w:sz w:val="18"/>
                <w:szCs w:val="18"/>
              </w:rPr>
              <w:t xml:space="preserve">1 - 2 weeks </w:t>
            </w:r>
            <w:r w:rsidR="00C70ABB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post-</w:t>
            </w:r>
            <w:r w:rsidRPr="00F32D77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treatment.</w:t>
            </w:r>
          </w:p>
          <w:p w:rsidR="00C70ABB" w:rsidRPr="00F32D77" w:rsidRDefault="00C70ABB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</w:p>
          <w:p w:rsidR="00F32D77" w:rsidRPr="00F32D77" w:rsidRDefault="00C70ABB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noProof/>
                <w:sz w:val="18"/>
                <w:szCs w:val="18"/>
              </w:rPr>
              <w:drawing>
                <wp:inline distT="0" distB="0" distL="0" distR="0" wp14:anchorId="5330264B" wp14:editId="7939F3F5">
                  <wp:extent cx="1638795" cy="700644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98" cy="705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2D77" w:rsidRPr="00F32D77" w:rsidRDefault="00F32D77" w:rsidP="00C70ABB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84" w:type="dxa"/>
          </w:tcPr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i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sz w:val="18"/>
                <w:szCs w:val="18"/>
              </w:rPr>
              <w:t xml:space="preserve">Gonorrhea culture is performed using the Neisseria gonorrhoeae culture charcoal kits. Culture should be performed at </w:t>
            </w:r>
            <w:r w:rsidR="00C70ABB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3-7 days </w:t>
            </w:r>
            <w:r w:rsidR="00C70ABB" w:rsidRPr="00F32D77">
              <w:rPr>
                <w:rFonts w:asciiTheme="minorHAnsi" w:hAnsiTheme="minorHAnsi" w:cstheme="minorBidi"/>
                <w:b/>
                <w:sz w:val="18"/>
                <w:szCs w:val="18"/>
              </w:rPr>
              <w:t>post</w:t>
            </w:r>
            <w:r w:rsidR="00C70ABB">
              <w:rPr>
                <w:rFonts w:asciiTheme="minorHAnsi" w:hAnsiTheme="minorHAnsi" w:cstheme="minorBidi"/>
                <w:sz w:val="18"/>
                <w:szCs w:val="18"/>
              </w:rPr>
              <w:t>-</w:t>
            </w:r>
            <w:r w:rsidRPr="00F32D77">
              <w:rPr>
                <w:rFonts w:asciiTheme="minorHAnsi" w:hAnsiTheme="minorHAnsi" w:cstheme="minorBidi"/>
                <w:sz w:val="18"/>
                <w:szCs w:val="18"/>
              </w:rPr>
              <w:t xml:space="preserve">treatment. </w:t>
            </w:r>
            <w:r w:rsidRPr="00F32D77">
              <w:rPr>
                <w:rFonts w:asciiTheme="minorHAnsi" w:hAnsiTheme="minorHAnsi" w:cstheme="minorBidi"/>
                <w:i/>
                <w:sz w:val="18"/>
                <w:szCs w:val="18"/>
              </w:rPr>
              <w:t>(Please note that this may not be an option in some remote areas due to transit/transport concerns).</w:t>
            </w:r>
          </w:p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noProof/>
                <w:sz w:val="18"/>
                <w:szCs w:val="18"/>
              </w:rPr>
              <w:drawing>
                <wp:inline distT="0" distB="0" distL="0" distR="0" wp14:anchorId="3F50E4F5" wp14:editId="1D6C54A9">
                  <wp:extent cx="1740815" cy="676893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215" cy="684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D77" w:rsidRPr="00F32D77" w:rsidTr="00C70A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</w:tcPr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F32D77">
              <w:rPr>
                <w:rFonts w:asciiTheme="minorHAnsi" w:eastAsiaTheme="minorHAnsi" w:hAnsiTheme="minorHAnsi" w:cstheme="minorBidi"/>
                <w:sz w:val="18"/>
                <w:szCs w:val="18"/>
              </w:rPr>
              <w:t>Alternative for TOC</w:t>
            </w:r>
          </w:p>
        </w:tc>
        <w:tc>
          <w:tcPr>
            <w:tcW w:w="3179" w:type="dxa"/>
          </w:tcPr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sz w:val="18"/>
                <w:szCs w:val="18"/>
              </w:rPr>
              <w:t xml:space="preserve">If culture is not available, test of cure by NAAT will be accepted. </w:t>
            </w:r>
          </w:p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sz w:val="18"/>
                <w:szCs w:val="18"/>
              </w:rPr>
              <w:t xml:space="preserve">*NAAT for TOC should be performed </w:t>
            </w:r>
            <w:r w:rsidRPr="00F32D77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≥ 3 to 4 weeks</w:t>
            </w:r>
            <w:r w:rsidR="00C70ABB">
              <w:rPr>
                <w:rFonts w:asciiTheme="minorHAnsi" w:hAnsiTheme="minorHAnsi" w:cstheme="minorBidi"/>
                <w:sz w:val="18"/>
                <w:szCs w:val="18"/>
              </w:rPr>
              <w:t xml:space="preserve"> post-t</w:t>
            </w:r>
            <w:r w:rsidR="00C70ABB" w:rsidRPr="00F32D77">
              <w:rPr>
                <w:rFonts w:asciiTheme="minorHAnsi" w:hAnsiTheme="minorHAnsi" w:cstheme="minorBidi"/>
                <w:sz w:val="18"/>
                <w:szCs w:val="18"/>
              </w:rPr>
              <w:t>reatment</w:t>
            </w:r>
            <w:r w:rsidRPr="00F32D77">
              <w:rPr>
                <w:rFonts w:asciiTheme="minorHAnsi" w:hAnsiTheme="minorHAnsi" w:cstheme="minorBidi"/>
                <w:sz w:val="18"/>
                <w:szCs w:val="18"/>
              </w:rPr>
              <w:t>*</w:t>
            </w:r>
          </w:p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b/>
                <w:noProof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b/>
                <w:noProof/>
                <w:sz w:val="18"/>
                <w:szCs w:val="18"/>
              </w:rPr>
              <w:t xml:space="preserve">     Urine NAAT               Cervical NAAT</w:t>
            </w:r>
          </w:p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b/>
                <w:noProof/>
                <w:sz w:val="18"/>
                <w:szCs w:val="18"/>
              </w:rPr>
              <w:drawing>
                <wp:inline distT="0" distB="0" distL="0" distR="0" wp14:anchorId="5FF8A013" wp14:editId="6021DA15">
                  <wp:extent cx="900752" cy="55867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5596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32D77">
              <w:rPr>
                <w:rFonts w:asciiTheme="minorHAnsi" w:hAnsiTheme="minorHAnsi" w:cstheme="minorBidi"/>
                <w:b/>
                <w:noProof/>
                <w:sz w:val="18"/>
                <w:szCs w:val="18"/>
              </w:rPr>
              <w:t xml:space="preserve">  </w:t>
            </w:r>
            <w:r w:rsidRPr="00F32D77">
              <w:rPr>
                <w:rFonts w:asciiTheme="minorHAnsi" w:hAnsiTheme="minorHAnsi" w:cstheme="minorBidi"/>
                <w:b/>
                <w:noProof/>
                <w:sz w:val="18"/>
                <w:szCs w:val="18"/>
              </w:rPr>
              <w:drawing>
                <wp:inline distT="0" distB="0" distL="0" distR="0" wp14:anchorId="0DB84806" wp14:editId="71AFD356">
                  <wp:extent cx="900752" cy="559558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752" cy="559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32D77">
              <w:rPr>
                <w:rFonts w:asciiTheme="minorHAnsi" w:hAnsiTheme="minorHAnsi" w:cstheme="minorBidi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184" w:type="dxa"/>
          </w:tcPr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sz w:val="18"/>
                <w:szCs w:val="18"/>
              </w:rPr>
              <w:t xml:space="preserve">If culture is not available, test of cure by NAAT will be accepted. </w:t>
            </w:r>
          </w:p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sz w:val="18"/>
                <w:szCs w:val="18"/>
              </w:rPr>
              <w:t xml:space="preserve">*NAAT for TOC should be performed  </w:t>
            </w:r>
            <w:r w:rsidRPr="00F32D77">
              <w:rPr>
                <w:rFonts w:asciiTheme="minorHAnsi" w:hAnsiTheme="minorHAnsi" w:cstheme="minorBidi"/>
                <w:b/>
                <w:sz w:val="18"/>
                <w:szCs w:val="18"/>
              </w:rPr>
              <w:t>≥ 2-3 weeks</w:t>
            </w:r>
            <w:r w:rsidRPr="00F32D77">
              <w:rPr>
                <w:rFonts w:asciiTheme="minorHAnsi" w:hAnsiTheme="minorHAnsi" w:cstheme="minorBidi"/>
                <w:sz w:val="18"/>
                <w:szCs w:val="18"/>
              </w:rPr>
              <w:t xml:space="preserve"> pos</w:t>
            </w:r>
            <w:r w:rsidR="00C70ABB">
              <w:rPr>
                <w:rFonts w:asciiTheme="minorHAnsi" w:hAnsiTheme="minorHAnsi" w:cstheme="minorBidi"/>
                <w:sz w:val="18"/>
                <w:szCs w:val="18"/>
              </w:rPr>
              <w:t>t-t</w:t>
            </w:r>
            <w:r w:rsidRPr="00F32D77">
              <w:rPr>
                <w:rFonts w:asciiTheme="minorHAnsi" w:hAnsiTheme="minorHAnsi" w:cstheme="minorBidi"/>
                <w:sz w:val="18"/>
                <w:szCs w:val="18"/>
              </w:rPr>
              <w:t>reatment*</w:t>
            </w:r>
          </w:p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    Urine NAAT               Cervical NAAT</w:t>
            </w:r>
          </w:p>
          <w:p w:rsidR="00F32D77" w:rsidRPr="00F32D77" w:rsidRDefault="00F32D77" w:rsidP="00F32D77">
            <w:pPr>
              <w:widowControl/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  <w:autoSpaceDE/>
              <w:autoSpaceDN/>
              <w:adjustRightInd/>
              <w:spacing w:after="200" w:line="276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00F32D77">
              <w:rPr>
                <w:rFonts w:asciiTheme="minorHAnsi" w:hAnsiTheme="minorHAnsi" w:cstheme="minorBidi"/>
                <w:noProof/>
                <w:sz w:val="18"/>
                <w:szCs w:val="18"/>
              </w:rPr>
              <w:drawing>
                <wp:inline distT="0" distB="0" distL="0" distR="0" wp14:anchorId="014B7D30" wp14:editId="480E4020">
                  <wp:extent cx="900752" cy="55273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32" cy="553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32D77">
              <w:rPr>
                <w:rFonts w:asciiTheme="minorHAnsi" w:hAnsiTheme="minorHAnsi" w:cstheme="minorBidi"/>
                <w:noProof/>
                <w:sz w:val="18"/>
                <w:szCs w:val="18"/>
              </w:rPr>
              <w:t xml:space="preserve">   </w:t>
            </w:r>
            <w:r w:rsidRPr="00F32D77">
              <w:rPr>
                <w:rFonts w:asciiTheme="minorHAnsi" w:hAnsiTheme="minorHAnsi" w:cstheme="minorBidi"/>
                <w:noProof/>
                <w:sz w:val="18"/>
                <w:szCs w:val="18"/>
              </w:rPr>
              <w:drawing>
                <wp:inline distT="0" distB="0" distL="0" distR="0" wp14:anchorId="65BEF37A" wp14:editId="698F6B2E">
                  <wp:extent cx="900752" cy="55273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88" cy="5525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1F7" w:rsidRPr="001F6D19" w:rsidRDefault="001001F7">
      <w:pPr>
        <w:tabs>
          <w:tab w:val="clear" w:pos="8640"/>
        </w:tabs>
        <w:jc w:val="left"/>
        <w:rPr>
          <w:rFonts w:asciiTheme="minorHAnsi" w:hAnsiTheme="minorHAnsi"/>
          <w:sz w:val="18"/>
          <w:szCs w:val="18"/>
        </w:rPr>
      </w:pPr>
      <w:r w:rsidRPr="001F6D19">
        <w:rPr>
          <w:rFonts w:asciiTheme="minorHAnsi" w:hAnsiTheme="minorHAnsi"/>
          <w:sz w:val="18"/>
          <w:szCs w:val="18"/>
        </w:rPr>
        <w:t xml:space="preserve">If there are any questions or concerns, please contact a member of the Practice Team. </w:t>
      </w:r>
    </w:p>
    <w:p w:rsidR="001001F7" w:rsidRPr="001F6D19" w:rsidRDefault="001001F7" w:rsidP="00C70ABB">
      <w:pPr>
        <w:tabs>
          <w:tab w:val="clear" w:pos="8640"/>
        </w:tabs>
        <w:jc w:val="right"/>
        <w:rPr>
          <w:rFonts w:asciiTheme="minorHAnsi" w:hAnsiTheme="minorHAnsi"/>
          <w:sz w:val="18"/>
          <w:szCs w:val="18"/>
        </w:rPr>
      </w:pPr>
      <w:r w:rsidRPr="001F6D19">
        <w:rPr>
          <w:rFonts w:asciiTheme="minorHAnsi" w:hAnsiTheme="minorHAnsi"/>
          <w:sz w:val="18"/>
          <w:szCs w:val="18"/>
        </w:rPr>
        <w:t>Thank You</w:t>
      </w:r>
      <w:r w:rsidR="00FE1CD6" w:rsidRPr="001F6D19">
        <w:rPr>
          <w:rFonts w:asciiTheme="minorHAnsi" w:hAnsiTheme="minorHAnsi"/>
          <w:sz w:val="18"/>
          <w:szCs w:val="18"/>
        </w:rPr>
        <w:t xml:space="preserve">. </w:t>
      </w:r>
    </w:p>
    <w:p w:rsidR="001001F7" w:rsidRPr="001F6D19" w:rsidRDefault="001001F7" w:rsidP="00C70ABB">
      <w:pPr>
        <w:tabs>
          <w:tab w:val="clear" w:pos="8640"/>
        </w:tabs>
        <w:jc w:val="right"/>
        <w:rPr>
          <w:rFonts w:asciiTheme="minorHAnsi" w:hAnsiTheme="minorHAnsi"/>
          <w:sz w:val="18"/>
          <w:szCs w:val="18"/>
        </w:rPr>
      </w:pPr>
      <w:r w:rsidRPr="001F6D19">
        <w:rPr>
          <w:rFonts w:asciiTheme="minorHAnsi" w:hAnsiTheme="minorHAnsi"/>
          <w:sz w:val="18"/>
          <w:szCs w:val="18"/>
        </w:rPr>
        <w:t>Nicola Phipps-</w:t>
      </w:r>
      <w:r w:rsidR="00FE1CD6" w:rsidRPr="001F6D19">
        <w:rPr>
          <w:rFonts w:asciiTheme="minorHAnsi" w:hAnsiTheme="minorHAnsi"/>
          <w:sz w:val="18"/>
          <w:szCs w:val="18"/>
        </w:rPr>
        <w:t xml:space="preserve">Wetelainen, Practice Consultant </w:t>
      </w:r>
    </w:p>
    <w:p w:rsidR="00FE1CD6" w:rsidRPr="001F6D19" w:rsidRDefault="00FE1CD6" w:rsidP="00C70ABB">
      <w:pPr>
        <w:tabs>
          <w:tab w:val="clear" w:pos="8640"/>
        </w:tabs>
        <w:jc w:val="right"/>
        <w:rPr>
          <w:rFonts w:asciiTheme="minorHAnsi" w:hAnsiTheme="minorHAnsi"/>
          <w:sz w:val="18"/>
          <w:szCs w:val="18"/>
        </w:rPr>
      </w:pPr>
      <w:r w:rsidRPr="001F6D19">
        <w:rPr>
          <w:rFonts w:asciiTheme="minorHAnsi" w:hAnsiTheme="minorHAnsi"/>
          <w:sz w:val="18"/>
          <w:szCs w:val="18"/>
        </w:rPr>
        <w:t>807 737 5856</w:t>
      </w:r>
    </w:p>
    <w:p w:rsidR="00F32D77" w:rsidRDefault="00F32D77" w:rsidP="001001F7">
      <w:pPr>
        <w:tabs>
          <w:tab w:val="clear" w:pos="8640"/>
        </w:tabs>
        <w:jc w:val="center"/>
        <w:rPr>
          <w:rFonts w:asciiTheme="minorHAnsi" w:hAnsiTheme="minorHAnsi"/>
          <w:sz w:val="22"/>
          <w:szCs w:val="22"/>
        </w:rPr>
      </w:pPr>
    </w:p>
    <w:p w:rsidR="001001F7" w:rsidRPr="00F32D77" w:rsidRDefault="001001F7" w:rsidP="001001F7">
      <w:pPr>
        <w:tabs>
          <w:tab w:val="clear" w:pos="8640"/>
        </w:tabs>
        <w:jc w:val="center"/>
        <w:rPr>
          <w:rFonts w:asciiTheme="minorHAnsi" w:hAnsiTheme="minorHAnsi"/>
          <w:sz w:val="22"/>
          <w:szCs w:val="22"/>
        </w:rPr>
      </w:pPr>
      <w:r w:rsidRPr="00F32D77">
        <w:rPr>
          <w:rFonts w:asciiTheme="minorHAnsi" w:hAnsiTheme="minorHAnsi"/>
          <w:sz w:val="22"/>
          <w:szCs w:val="22"/>
        </w:rPr>
        <w:t>Resources</w:t>
      </w:r>
    </w:p>
    <w:p w:rsidR="00735EE6" w:rsidRPr="00735EE6" w:rsidRDefault="00735EE6" w:rsidP="00735EE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735E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Canadian Guidelines on Sexually Transmitted Infection.</w:t>
      </w:r>
      <w:proofErr w:type="gramEnd"/>
      <w:r w:rsidRPr="00735E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gramStart"/>
      <w:r w:rsidRPr="00735EE6">
        <w:rPr>
          <w:rFonts w:asciiTheme="minorHAnsi" w:eastAsiaTheme="minorHAnsi" w:hAnsiTheme="minorHAnsi" w:cs="Arial"/>
          <w:color w:val="333333"/>
          <w:sz w:val="22"/>
          <w:szCs w:val="22"/>
          <w:lang w:val="en" w:eastAsia="en-US"/>
        </w:rPr>
        <w:t>Management and treatment of specific infections – Chlamydial Infections.</w:t>
      </w:r>
      <w:proofErr w:type="gramEnd"/>
      <w:r w:rsidRPr="00735EE6">
        <w:rPr>
          <w:rFonts w:asciiTheme="minorHAnsi" w:eastAsiaTheme="minorHAnsi" w:hAnsiTheme="minorHAnsi" w:cs="Arial"/>
          <w:color w:val="333333"/>
          <w:sz w:val="22"/>
          <w:szCs w:val="22"/>
          <w:lang w:val="en" w:eastAsia="en-US"/>
        </w:rPr>
        <w:t xml:space="preserve"> Retrieved from </w:t>
      </w:r>
      <w:hyperlink r:id="rId17" w:history="1">
        <w:r w:rsidRPr="00F32D7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https://www.canada.ca/en/public-health/services/infectious-diseases/sexual-health-sexually-transmitted-infections/canadian-guidelines/sexually-transmitted-infections/canadian-guidelines-sexually-transmitted-infections-30.html</w:t>
        </w:r>
      </w:hyperlink>
      <w:r w:rsidRPr="00735EE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735EE6" w:rsidRDefault="00735EE6" w:rsidP="00735EE6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after="200" w:line="276" w:lineRule="auto"/>
        <w:jc w:val="left"/>
        <w:rPr>
          <w:rFonts w:asciiTheme="minorHAnsi" w:eastAsiaTheme="minorHAnsi" w:hAnsiTheme="minorHAnsi" w:cs="Arial"/>
          <w:color w:val="333333"/>
          <w:sz w:val="22"/>
          <w:szCs w:val="22"/>
          <w:lang w:val="en" w:eastAsia="en-US"/>
        </w:rPr>
      </w:pPr>
      <w:proofErr w:type="gramStart"/>
      <w:r w:rsidRPr="00735E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Canadian Guidelines on Sexually Transmitted Infection.</w:t>
      </w:r>
      <w:proofErr w:type="gramEnd"/>
      <w:r w:rsidRPr="00735EE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gramStart"/>
      <w:r w:rsidRPr="00735EE6">
        <w:rPr>
          <w:rFonts w:asciiTheme="minorHAnsi" w:eastAsiaTheme="minorHAnsi" w:hAnsiTheme="minorHAnsi" w:cs="Arial"/>
          <w:color w:val="333333"/>
          <w:sz w:val="22"/>
          <w:szCs w:val="22"/>
          <w:lang w:val="en" w:eastAsia="en-US"/>
        </w:rPr>
        <w:t>Management and treatment of specific infections – Gonococcal Infections.</w:t>
      </w:r>
      <w:proofErr w:type="gramEnd"/>
      <w:r w:rsidRPr="00735EE6">
        <w:rPr>
          <w:rFonts w:asciiTheme="minorHAnsi" w:eastAsiaTheme="minorHAnsi" w:hAnsiTheme="minorHAnsi" w:cs="Arial"/>
          <w:color w:val="333333"/>
          <w:sz w:val="22"/>
          <w:szCs w:val="22"/>
          <w:lang w:val="en" w:eastAsia="en-US"/>
        </w:rPr>
        <w:t xml:space="preserve"> Retrieved from </w:t>
      </w:r>
      <w:hyperlink r:id="rId18" w:history="1">
        <w:r w:rsidR="00CB4C8D" w:rsidRPr="001217C4">
          <w:rPr>
            <w:rStyle w:val="Hyperlink"/>
            <w:rFonts w:asciiTheme="minorHAnsi" w:eastAsiaTheme="minorHAnsi" w:hAnsiTheme="minorHAnsi" w:cs="Arial"/>
            <w:sz w:val="22"/>
            <w:szCs w:val="22"/>
            <w:lang w:val="en" w:eastAsia="en-US"/>
          </w:rPr>
          <w:t>https://www.canada.ca/en/public-health/services/infectious-diseases/sexual-health-sexually-transmitted-infections/canadian-guidelines/sexually-transmitted-infections/canadian-guidelines-sexually-transmitted-infections-34.html</w:t>
        </w:r>
      </w:hyperlink>
    </w:p>
    <w:p w:rsidR="00D65D99" w:rsidRPr="00F32D77" w:rsidRDefault="00735EE6" w:rsidP="00735EE6">
      <w:pPr>
        <w:tabs>
          <w:tab w:val="clear" w:pos="864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1F6D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Public Health Ontario (PHO).</w:t>
      </w:r>
      <w:proofErr w:type="gramEnd"/>
      <w:r w:rsidRPr="001F6D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1F6D19">
        <w:rPr>
          <w:rFonts w:asciiTheme="minorHAnsi" w:eastAsiaTheme="minorHAnsi" w:hAnsiTheme="minorHAnsi" w:cstheme="minorBidi"/>
          <w:sz w:val="22"/>
          <w:szCs w:val="22"/>
          <w:lang w:eastAsia="en-US"/>
        </w:rPr>
        <w:t>(2018).</w:t>
      </w:r>
      <w:r w:rsidRPr="00F32D7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F32D77">
        <w:rPr>
          <w:rFonts w:asciiTheme="minorHAnsi" w:eastAsiaTheme="minorHAnsi" w:hAnsiTheme="minorHAnsi" w:cstheme="minorBidi"/>
          <w:sz w:val="22"/>
          <w:szCs w:val="22"/>
          <w:lang w:eastAsia="en-US"/>
        </w:rPr>
        <w:t>Ontario Gonorrhea Testing and Treatment Guide.</w:t>
      </w:r>
      <w:proofErr w:type="gramEnd"/>
      <w:r w:rsidRPr="00F32D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F32D77">
        <w:rPr>
          <w:rFonts w:asciiTheme="minorHAnsi" w:eastAsiaTheme="minorHAnsi" w:hAnsiTheme="minorHAnsi" w:cstheme="minorBidi"/>
          <w:sz w:val="22"/>
          <w:szCs w:val="22"/>
          <w:lang w:eastAsia="en-US"/>
        </w:rPr>
        <w:t>(2nd Ed.).</w:t>
      </w:r>
      <w:proofErr w:type="gramEnd"/>
      <w:r w:rsidRPr="00F32D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Retrieved from </w:t>
      </w:r>
      <w:hyperlink r:id="rId19" w:history="1">
        <w:r w:rsidRPr="00F32D77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https://www.publichealthontario.ca/-/media/documents/guide-gonorrhea-testing-treatment.pdf?la=en</w:t>
        </w:r>
      </w:hyperlink>
    </w:p>
    <w:p w:rsidR="00735EE6" w:rsidRPr="001F6D19" w:rsidRDefault="0083478A" w:rsidP="00735EE6">
      <w:pPr>
        <w:tabs>
          <w:tab w:val="clear" w:pos="8640"/>
        </w:tabs>
        <w:jc w:val="left"/>
        <w:rPr>
          <w:b/>
          <w:sz w:val="22"/>
          <w:szCs w:val="22"/>
        </w:rPr>
      </w:pPr>
      <w:r w:rsidRPr="001F6D19">
        <w:rPr>
          <w:b/>
          <w:sz w:val="22"/>
          <w:szCs w:val="22"/>
        </w:rPr>
        <w:t xml:space="preserve"> </w:t>
      </w:r>
    </w:p>
    <w:p w:rsidR="00C70ABB" w:rsidRDefault="00C70ABB" w:rsidP="00735EE6">
      <w:pPr>
        <w:tabs>
          <w:tab w:val="clear" w:pos="8640"/>
        </w:tabs>
        <w:jc w:val="left"/>
        <w:rPr>
          <w:sz w:val="22"/>
          <w:szCs w:val="22"/>
        </w:rPr>
      </w:pPr>
      <w:proofErr w:type="gramStart"/>
      <w:r w:rsidRPr="001F6D19">
        <w:rPr>
          <w:b/>
          <w:sz w:val="22"/>
          <w:szCs w:val="22"/>
        </w:rPr>
        <w:t>Public Health Ontario.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(2019). Gonorrhea </w:t>
      </w:r>
      <w:r w:rsidR="001F6D19">
        <w:rPr>
          <w:sz w:val="22"/>
          <w:szCs w:val="22"/>
        </w:rPr>
        <w:t>Treatment Quick Reference.</w:t>
      </w:r>
      <w:proofErr w:type="gramEnd"/>
      <w:r w:rsidR="001F6D19">
        <w:rPr>
          <w:sz w:val="22"/>
          <w:szCs w:val="22"/>
        </w:rPr>
        <w:t xml:space="preserve"> Retrieved from </w:t>
      </w:r>
      <w:hyperlink r:id="rId20" w:history="1">
        <w:r w:rsidR="001F6D19" w:rsidRPr="001217C4">
          <w:rPr>
            <w:rStyle w:val="Hyperlink"/>
            <w:sz w:val="22"/>
            <w:szCs w:val="22"/>
          </w:rPr>
          <w:t>https://www.publichealthontario.ca/-/media/documents/gonorrhea-quick-reference.pdf?la=en&amp;_cldee=a3lvdW5naG9vbkBud2h1Lm9uLmNh&amp;recipientid=contact-d7de04b32269e411a5800050569e0009-45b61555243c4c5bafee4dbd33c2b57c&amp;esid=a1573c21-f89c-e911-a6f8-0050569e0009</w:t>
        </w:r>
      </w:hyperlink>
    </w:p>
    <w:p w:rsidR="001F6D19" w:rsidRPr="00F32D77" w:rsidRDefault="001F6D19" w:rsidP="00735EE6">
      <w:pPr>
        <w:tabs>
          <w:tab w:val="clear" w:pos="8640"/>
        </w:tabs>
        <w:jc w:val="left"/>
        <w:rPr>
          <w:sz w:val="22"/>
          <w:szCs w:val="22"/>
        </w:rPr>
      </w:pPr>
    </w:p>
    <w:sectPr w:rsidR="001F6D19" w:rsidRPr="00F32D77">
      <w:headerReference w:type="default" r:id="rId21"/>
      <w:type w:val="continuous"/>
      <w:pgSz w:w="12240" w:h="15840"/>
      <w:pgMar w:top="360" w:right="1260" w:bottom="270" w:left="1710" w:header="1440" w:footer="14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2D" w:rsidRDefault="00F5622D">
      <w:r>
        <w:separator/>
      </w:r>
    </w:p>
  </w:endnote>
  <w:endnote w:type="continuationSeparator" w:id="0">
    <w:p w:rsidR="00F5622D" w:rsidRDefault="00F5622D">
      <w:r>
        <w:continuationSeparator/>
      </w:r>
    </w:p>
  </w:endnote>
  <w:endnote w:type="continuationNotice" w:id="1">
    <w:p w:rsidR="00F5622D" w:rsidRDefault="00F562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8E3" w:rsidRDefault="002F18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2D" w:rsidRDefault="00F5622D">
      <w:r>
        <w:separator/>
      </w:r>
    </w:p>
  </w:footnote>
  <w:footnote w:type="continuationSeparator" w:id="0">
    <w:p w:rsidR="00F5622D" w:rsidRDefault="00F5622D">
      <w:r>
        <w:continuationSeparator/>
      </w:r>
    </w:p>
  </w:footnote>
  <w:footnote w:type="continuationNotice" w:id="1">
    <w:p w:rsidR="00F5622D" w:rsidRDefault="00F562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8A" w:rsidRDefault="0081618A">
    <w:pPr>
      <w:framePr w:wrap="notBeside" w:hAnchor="text" w:xAlign="center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  <w:r>
      <w:t xml:space="preserve">- </w:t>
    </w:r>
    <w:r>
      <w:fldChar w:fldCharType="begin"/>
    </w:r>
    <w:r>
      <w:instrText xml:space="preserve"> PAGE  </w:instrText>
    </w:r>
    <w:r>
      <w:fldChar w:fldCharType="end"/>
    </w:r>
    <w:r>
      <w:t xml:space="preserve"> -</w:t>
    </w:r>
  </w:p>
  <w:p w:rsidR="0081618A" w:rsidRDefault="0081618A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8A" w:rsidRDefault="0081618A">
    <w:pPr>
      <w:framePr w:wrap="notBeside" w:hAnchor="text" w:xAlign="center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  <w:r>
      <w:t xml:space="preserve">- </w:t>
    </w:r>
    <w:r>
      <w:fldChar w:fldCharType="begin"/>
    </w:r>
    <w:r>
      <w:instrText xml:space="preserve"> PAGE  </w:instrText>
    </w:r>
    <w:r>
      <w:fldChar w:fldCharType="separate"/>
    </w:r>
    <w:r w:rsidR="00CD5BD5">
      <w:rPr>
        <w:noProof/>
      </w:rPr>
      <w:t>2</w:t>
    </w:r>
    <w:r>
      <w:fldChar w:fldCharType="end"/>
    </w:r>
    <w:r>
      <w:t xml:space="preserve"> -</w:t>
    </w:r>
  </w:p>
  <w:p w:rsidR="0081618A" w:rsidRDefault="0081618A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71D1"/>
    <w:multiLevelType w:val="hybridMultilevel"/>
    <w:tmpl w:val="3A3A50EE"/>
    <w:lvl w:ilvl="0" w:tplc="1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1CBE59FD"/>
    <w:multiLevelType w:val="hybridMultilevel"/>
    <w:tmpl w:val="35E610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398E"/>
    <w:multiLevelType w:val="hybridMultilevel"/>
    <w:tmpl w:val="62303E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C3783"/>
    <w:multiLevelType w:val="hybridMultilevel"/>
    <w:tmpl w:val="92147B10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45FE72D9"/>
    <w:multiLevelType w:val="hybridMultilevel"/>
    <w:tmpl w:val="9B2C7CE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904AC8"/>
    <w:multiLevelType w:val="hybridMultilevel"/>
    <w:tmpl w:val="6F3CC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B375B"/>
    <w:multiLevelType w:val="hybridMultilevel"/>
    <w:tmpl w:val="960E0C7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B269F2"/>
    <w:multiLevelType w:val="hybridMultilevel"/>
    <w:tmpl w:val="609E1BEC"/>
    <w:lvl w:ilvl="0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>
    <w:nsid w:val="706A5065"/>
    <w:multiLevelType w:val="hybridMultilevel"/>
    <w:tmpl w:val="08AA9F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05D6B"/>
    <w:multiLevelType w:val="hybridMultilevel"/>
    <w:tmpl w:val="2FFAD0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00"/>
    <w:rsid w:val="00007A91"/>
    <w:rsid w:val="00016AF5"/>
    <w:rsid w:val="000248F2"/>
    <w:rsid w:val="00053AD9"/>
    <w:rsid w:val="00057230"/>
    <w:rsid w:val="00064AEA"/>
    <w:rsid w:val="00065573"/>
    <w:rsid w:val="00092325"/>
    <w:rsid w:val="00096FC0"/>
    <w:rsid w:val="000A7200"/>
    <w:rsid w:val="000B51F4"/>
    <w:rsid w:val="000C44A7"/>
    <w:rsid w:val="000D2FC6"/>
    <w:rsid w:val="000D617F"/>
    <w:rsid w:val="001001F7"/>
    <w:rsid w:val="001221D8"/>
    <w:rsid w:val="00124A3A"/>
    <w:rsid w:val="001268EE"/>
    <w:rsid w:val="00142185"/>
    <w:rsid w:val="00142AF4"/>
    <w:rsid w:val="00147466"/>
    <w:rsid w:val="00150C00"/>
    <w:rsid w:val="00160AD2"/>
    <w:rsid w:val="00162E50"/>
    <w:rsid w:val="0017085E"/>
    <w:rsid w:val="00174D83"/>
    <w:rsid w:val="001A1121"/>
    <w:rsid w:val="001A6604"/>
    <w:rsid w:val="001B4999"/>
    <w:rsid w:val="001C05E4"/>
    <w:rsid w:val="001D0502"/>
    <w:rsid w:val="001D6E8A"/>
    <w:rsid w:val="001F6D19"/>
    <w:rsid w:val="002037DC"/>
    <w:rsid w:val="002037E8"/>
    <w:rsid w:val="00207630"/>
    <w:rsid w:val="0021200E"/>
    <w:rsid w:val="002204A7"/>
    <w:rsid w:val="00220856"/>
    <w:rsid w:val="00225B88"/>
    <w:rsid w:val="00240BCD"/>
    <w:rsid w:val="002428EB"/>
    <w:rsid w:val="00246E66"/>
    <w:rsid w:val="002601E0"/>
    <w:rsid w:val="00265AF6"/>
    <w:rsid w:val="00270AAA"/>
    <w:rsid w:val="002851AC"/>
    <w:rsid w:val="00286E97"/>
    <w:rsid w:val="00295AA8"/>
    <w:rsid w:val="0029601D"/>
    <w:rsid w:val="002A410E"/>
    <w:rsid w:val="002F18E3"/>
    <w:rsid w:val="002F548D"/>
    <w:rsid w:val="00310F01"/>
    <w:rsid w:val="0032752B"/>
    <w:rsid w:val="003463CF"/>
    <w:rsid w:val="003514EE"/>
    <w:rsid w:val="00366878"/>
    <w:rsid w:val="00382E74"/>
    <w:rsid w:val="00384F00"/>
    <w:rsid w:val="003F6019"/>
    <w:rsid w:val="00402C32"/>
    <w:rsid w:val="004064FD"/>
    <w:rsid w:val="00414825"/>
    <w:rsid w:val="00446C42"/>
    <w:rsid w:val="0045173D"/>
    <w:rsid w:val="004623FC"/>
    <w:rsid w:val="00464C6C"/>
    <w:rsid w:val="00480373"/>
    <w:rsid w:val="004860FD"/>
    <w:rsid w:val="004A2F7A"/>
    <w:rsid w:val="004A3621"/>
    <w:rsid w:val="004B2A90"/>
    <w:rsid w:val="004B4E2A"/>
    <w:rsid w:val="004D12FD"/>
    <w:rsid w:val="004E0337"/>
    <w:rsid w:val="004E5A77"/>
    <w:rsid w:val="004F1282"/>
    <w:rsid w:val="0050334A"/>
    <w:rsid w:val="00531CF0"/>
    <w:rsid w:val="005360D1"/>
    <w:rsid w:val="0054214A"/>
    <w:rsid w:val="00542D24"/>
    <w:rsid w:val="005577C9"/>
    <w:rsid w:val="00557B45"/>
    <w:rsid w:val="00560BC6"/>
    <w:rsid w:val="00567BD0"/>
    <w:rsid w:val="00567BD5"/>
    <w:rsid w:val="0057386E"/>
    <w:rsid w:val="005764EA"/>
    <w:rsid w:val="00591D65"/>
    <w:rsid w:val="0059399A"/>
    <w:rsid w:val="005A2608"/>
    <w:rsid w:val="005A2ED7"/>
    <w:rsid w:val="005C4727"/>
    <w:rsid w:val="005D39A7"/>
    <w:rsid w:val="00604F4B"/>
    <w:rsid w:val="0060577C"/>
    <w:rsid w:val="006167D5"/>
    <w:rsid w:val="00640B59"/>
    <w:rsid w:val="00643055"/>
    <w:rsid w:val="0064477C"/>
    <w:rsid w:val="006804C2"/>
    <w:rsid w:val="0068065D"/>
    <w:rsid w:val="0069087F"/>
    <w:rsid w:val="00697A61"/>
    <w:rsid w:val="006B48EA"/>
    <w:rsid w:val="006B5690"/>
    <w:rsid w:val="006D58AC"/>
    <w:rsid w:val="006E401F"/>
    <w:rsid w:val="007002A4"/>
    <w:rsid w:val="007226BA"/>
    <w:rsid w:val="00735EE6"/>
    <w:rsid w:val="00744F74"/>
    <w:rsid w:val="007504EF"/>
    <w:rsid w:val="00754C26"/>
    <w:rsid w:val="00781E87"/>
    <w:rsid w:val="007846B1"/>
    <w:rsid w:val="007A1ECA"/>
    <w:rsid w:val="007B78FF"/>
    <w:rsid w:val="007C2C5D"/>
    <w:rsid w:val="007E4EBF"/>
    <w:rsid w:val="007E6775"/>
    <w:rsid w:val="0080054C"/>
    <w:rsid w:val="008023C4"/>
    <w:rsid w:val="00810A19"/>
    <w:rsid w:val="008125AF"/>
    <w:rsid w:val="0081618A"/>
    <w:rsid w:val="0083478A"/>
    <w:rsid w:val="00835218"/>
    <w:rsid w:val="00850328"/>
    <w:rsid w:val="008701E6"/>
    <w:rsid w:val="008961BE"/>
    <w:rsid w:val="008A2401"/>
    <w:rsid w:val="008A4E60"/>
    <w:rsid w:val="008D4CA5"/>
    <w:rsid w:val="008E0F9E"/>
    <w:rsid w:val="008F2DBF"/>
    <w:rsid w:val="008F472A"/>
    <w:rsid w:val="00906FE0"/>
    <w:rsid w:val="00911DFA"/>
    <w:rsid w:val="009201D8"/>
    <w:rsid w:val="00923098"/>
    <w:rsid w:val="00931819"/>
    <w:rsid w:val="00932660"/>
    <w:rsid w:val="0095124A"/>
    <w:rsid w:val="009625CE"/>
    <w:rsid w:val="009762ED"/>
    <w:rsid w:val="009809BF"/>
    <w:rsid w:val="009938DA"/>
    <w:rsid w:val="009C00C6"/>
    <w:rsid w:val="009C5998"/>
    <w:rsid w:val="009D3625"/>
    <w:rsid w:val="009E3FEF"/>
    <w:rsid w:val="00A112BB"/>
    <w:rsid w:val="00A156B5"/>
    <w:rsid w:val="00A166CF"/>
    <w:rsid w:val="00A17F1B"/>
    <w:rsid w:val="00A357CD"/>
    <w:rsid w:val="00A44E91"/>
    <w:rsid w:val="00A51804"/>
    <w:rsid w:val="00A6104D"/>
    <w:rsid w:val="00A63AB7"/>
    <w:rsid w:val="00A66DE6"/>
    <w:rsid w:val="00A75BFF"/>
    <w:rsid w:val="00A83078"/>
    <w:rsid w:val="00A94585"/>
    <w:rsid w:val="00AA6F2E"/>
    <w:rsid w:val="00AC6DFE"/>
    <w:rsid w:val="00AC7A4B"/>
    <w:rsid w:val="00AD1904"/>
    <w:rsid w:val="00AD556F"/>
    <w:rsid w:val="00AE5B04"/>
    <w:rsid w:val="00AF02F3"/>
    <w:rsid w:val="00B06536"/>
    <w:rsid w:val="00B2085C"/>
    <w:rsid w:val="00B26805"/>
    <w:rsid w:val="00B30FA9"/>
    <w:rsid w:val="00B44936"/>
    <w:rsid w:val="00B52D80"/>
    <w:rsid w:val="00B57724"/>
    <w:rsid w:val="00B6325A"/>
    <w:rsid w:val="00B6421D"/>
    <w:rsid w:val="00B71FE4"/>
    <w:rsid w:val="00B731A6"/>
    <w:rsid w:val="00B8295F"/>
    <w:rsid w:val="00B9104D"/>
    <w:rsid w:val="00BA7A6D"/>
    <w:rsid w:val="00BB61D1"/>
    <w:rsid w:val="00BC3B77"/>
    <w:rsid w:val="00BE742C"/>
    <w:rsid w:val="00BF0302"/>
    <w:rsid w:val="00BF058F"/>
    <w:rsid w:val="00BF236C"/>
    <w:rsid w:val="00BF3376"/>
    <w:rsid w:val="00C1077F"/>
    <w:rsid w:val="00C13DED"/>
    <w:rsid w:val="00C31AEA"/>
    <w:rsid w:val="00C43933"/>
    <w:rsid w:val="00C44D2B"/>
    <w:rsid w:val="00C54A7D"/>
    <w:rsid w:val="00C55D66"/>
    <w:rsid w:val="00C61130"/>
    <w:rsid w:val="00C70ABB"/>
    <w:rsid w:val="00C74D48"/>
    <w:rsid w:val="00C805B4"/>
    <w:rsid w:val="00C825C8"/>
    <w:rsid w:val="00C83878"/>
    <w:rsid w:val="00C95150"/>
    <w:rsid w:val="00CB390E"/>
    <w:rsid w:val="00CB4C8D"/>
    <w:rsid w:val="00CB5A27"/>
    <w:rsid w:val="00CC370E"/>
    <w:rsid w:val="00CC74C5"/>
    <w:rsid w:val="00CD51AE"/>
    <w:rsid w:val="00CD5BD5"/>
    <w:rsid w:val="00CD5E00"/>
    <w:rsid w:val="00CD73F9"/>
    <w:rsid w:val="00CF1F9B"/>
    <w:rsid w:val="00D11598"/>
    <w:rsid w:val="00D3698E"/>
    <w:rsid w:val="00D37BF8"/>
    <w:rsid w:val="00D41567"/>
    <w:rsid w:val="00D45E4F"/>
    <w:rsid w:val="00D503AF"/>
    <w:rsid w:val="00D63DD2"/>
    <w:rsid w:val="00D65D99"/>
    <w:rsid w:val="00D72521"/>
    <w:rsid w:val="00D81D2F"/>
    <w:rsid w:val="00DA5D14"/>
    <w:rsid w:val="00DA6539"/>
    <w:rsid w:val="00DB705F"/>
    <w:rsid w:val="00DD4675"/>
    <w:rsid w:val="00DF60F2"/>
    <w:rsid w:val="00E00B01"/>
    <w:rsid w:val="00E02E42"/>
    <w:rsid w:val="00E15BF4"/>
    <w:rsid w:val="00E30772"/>
    <w:rsid w:val="00E503D9"/>
    <w:rsid w:val="00E64809"/>
    <w:rsid w:val="00EA5E99"/>
    <w:rsid w:val="00EB0A70"/>
    <w:rsid w:val="00EC0DD6"/>
    <w:rsid w:val="00F12684"/>
    <w:rsid w:val="00F203CA"/>
    <w:rsid w:val="00F277B3"/>
    <w:rsid w:val="00F32D77"/>
    <w:rsid w:val="00F35CB3"/>
    <w:rsid w:val="00F5622D"/>
    <w:rsid w:val="00F71359"/>
    <w:rsid w:val="00F73673"/>
    <w:rsid w:val="00F908F2"/>
    <w:rsid w:val="00F97274"/>
    <w:rsid w:val="00FC5DDE"/>
    <w:rsid w:val="00FD1501"/>
    <w:rsid w:val="00FD1E31"/>
    <w:rsid w:val="00FD2D24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∙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customStyle="1" w:styleId="a1">
    <w:name w:val="■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1">
    <w:name w:val="p1"/>
    <w:rsid w:val="009D3625"/>
    <w:rPr>
      <w:rFonts w:ascii="Arial" w:hAnsi="Arial"/>
      <w:sz w:val="20"/>
    </w:rPr>
  </w:style>
  <w:style w:type="paragraph" w:customStyle="1" w:styleId="detailsstaff1">
    <w:name w:val="detailsstaff1"/>
    <w:basedOn w:val="Normal"/>
    <w:rsid w:val="00A75BFF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70" w:lineRule="atLeast"/>
      <w:ind w:right="300"/>
      <w:jc w:val="left"/>
    </w:pPr>
    <w:rPr>
      <w:b/>
      <w:bCs/>
      <w:color w:val="3B3B3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4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F18E3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8E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F18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C370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56B5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ind w:left="720"/>
      <w:jc w:val="left"/>
    </w:pPr>
    <w:rPr>
      <w:rFonts w:ascii="Calibri" w:hAnsi="Calibri"/>
      <w:sz w:val="22"/>
      <w:szCs w:val="22"/>
      <w:lang w:eastAsia="en-US"/>
    </w:rPr>
  </w:style>
  <w:style w:type="table" w:styleId="LightGrid-Accent3">
    <w:name w:val="Light Grid Accent 3"/>
    <w:basedOn w:val="TableNormal"/>
    <w:uiPriority w:val="62"/>
    <w:rsid w:val="00BF337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F337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rsid w:val="00F32D7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∙"/>
    <w:uiPriority w:val="99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customStyle="1" w:styleId="a1">
    <w:name w:val="■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1">
    <w:name w:val="p1"/>
    <w:rsid w:val="009D3625"/>
    <w:rPr>
      <w:rFonts w:ascii="Arial" w:hAnsi="Arial"/>
      <w:sz w:val="20"/>
    </w:rPr>
  </w:style>
  <w:style w:type="paragraph" w:customStyle="1" w:styleId="detailsstaff1">
    <w:name w:val="detailsstaff1"/>
    <w:basedOn w:val="Normal"/>
    <w:rsid w:val="00A75BFF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70" w:lineRule="atLeast"/>
      <w:ind w:right="300"/>
      <w:jc w:val="left"/>
    </w:pPr>
    <w:rPr>
      <w:b/>
      <w:bCs/>
      <w:color w:val="3B3B3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04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F18E3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8E3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F18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C370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56B5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ind w:left="720"/>
      <w:jc w:val="left"/>
    </w:pPr>
    <w:rPr>
      <w:rFonts w:ascii="Calibri" w:hAnsi="Calibri"/>
      <w:sz w:val="22"/>
      <w:szCs w:val="22"/>
      <w:lang w:eastAsia="en-US"/>
    </w:rPr>
  </w:style>
  <w:style w:type="table" w:styleId="LightGrid-Accent3">
    <w:name w:val="Light Grid Accent 3"/>
    <w:basedOn w:val="TableNormal"/>
    <w:uiPriority w:val="62"/>
    <w:rsid w:val="00BF337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F337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rsid w:val="00F32D7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1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51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8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511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51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8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w.canada.ca/en/public-health/services/infectious-diseases/sexual-health-sexually-transmitted-infections/canadian-guidelines/sexually-transmitted-infections/canadian-guidelines-sexually-transmitted-infections-34.html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canada.ca/en/public-health/services/infectious-diseases/sexual-health-sexually-transmitted-infections/canadian-guidelines/sexually-transmitted-infections/canadian-guidelines-sexually-transmitted-infections-30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publichealthontario.ca/-/media/documents/gonorrhea-quick-reference.pdf?la=en&amp;_cldee=a3lvdW5naG9vbkBud2h1Lm9uLmNh&amp;recipientid=contact-d7de04b32269e411a5800050569e0009-45b61555243c4c5bafee4dbd33c2b57c&amp;esid=a1573c21-f89c-e911-a6f8-0050569e000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publichealthontario.ca/-/media/documents/guide-gonorrhea-testing-treatment.pdf?la=e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Mbellero</dc:creator>
  <cp:lastModifiedBy>Nicola Phipps-Wetelainen</cp:lastModifiedBy>
  <cp:revision>4</cp:revision>
  <cp:lastPrinted>2019-07-23T21:11:00Z</cp:lastPrinted>
  <dcterms:created xsi:type="dcterms:W3CDTF">2019-07-23T20:49:00Z</dcterms:created>
  <dcterms:modified xsi:type="dcterms:W3CDTF">2019-07-23T21:14:00Z</dcterms:modified>
</cp:coreProperties>
</file>